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23" w:rsidRDefault="00E70123" w:rsidP="005D3AAD">
      <w:pPr>
        <w:tabs>
          <w:tab w:val="left" w:pos="2160"/>
        </w:tabs>
        <w:rPr>
          <w:b/>
          <w:bCs/>
          <w:sz w:val="32"/>
          <w:u w:val="single"/>
        </w:rPr>
      </w:pPr>
      <w:bookmarkStart w:id="0" w:name="_GoBack"/>
      <w:bookmarkEnd w:id="0"/>
    </w:p>
    <w:p w:rsidR="00E70123" w:rsidRDefault="00E70123" w:rsidP="005D3AAD">
      <w:pPr>
        <w:rPr>
          <w:b/>
          <w:bCs/>
        </w:rPr>
      </w:pPr>
    </w:p>
    <w:p w:rsidR="00E70123" w:rsidRPr="002B5900" w:rsidRDefault="00E70123" w:rsidP="004F7E48">
      <w:pPr>
        <w:tabs>
          <w:tab w:val="left" w:pos="2268"/>
        </w:tabs>
        <w:rPr>
          <w:rFonts w:cs="Arial"/>
          <w:b/>
          <w:bCs/>
        </w:rPr>
      </w:pPr>
      <w:r>
        <w:rPr>
          <w:rFonts w:cs="Arial"/>
          <w:b/>
          <w:bCs/>
        </w:rPr>
        <w:t>To:</w:t>
      </w:r>
      <w:r>
        <w:rPr>
          <w:rFonts w:cs="Arial"/>
          <w:b/>
          <w:bCs/>
        </w:rPr>
        <w:tab/>
      </w:r>
      <w:r w:rsidR="002B5900" w:rsidRPr="00EB0D62">
        <w:t>Executive Director, City Regeneration</w:t>
      </w:r>
    </w:p>
    <w:p w:rsidR="00E70123" w:rsidRDefault="00E70123" w:rsidP="004F7E48">
      <w:pPr>
        <w:tabs>
          <w:tab w:val="left" w:pos="2268"/>
        </w:tabs>
        <w:rPr>
          <w:rFonts w:cs="Arial"/>
          <w:b/>
          <w:bCs/>
        </w:rPr>
      </w:pPr>
    </w:p>
    <w:p w:rsidR="00E70123" w:rsidRDefault="00E70123" w:rsidP="004F7E48">
      <w:pPr>
        <w:tabs>
          <w:tab w:val="left" w:pos="2268"/>
          <w:tab w:val="left" w:pos="6300"/>
          <w:tab w:val="left" w:pos="7380"/>
        </w:tabs>
        <w:rPr>
          <w:rFonts w:cs="Arial"/>
          <w:b/>
          <w:bCs/>
        </w:rPr>
      </w:pPr>
      <w:r>
        <w:rPr>
          <w:rFonts w:cs="Arial"/>
          <w:b/>
          <w:bCs/>
        </w:rPr>
        <w:t xml:space="preserve">Date: </w:t>
      </w:r>
      <w:r>
        <w:rPr>
          <w:rFonts w:cs="Arial"/>
          <w:b/>
          <w:bCs/>
        </w:rPr>
        <w:tab/>
      </w:r>
      <w:r w:rsidR="00C02260">
        <w:rPr>
          <w:rFonts w:cs="Arial"/>
          <w:b/>
          <w:bCs/>
        </w:rPr>
        <w:t>16</w:t>
      </w:r>
      <w:r w:rsidR="008336A5" w:rsidRPr="008336A5">
        <w:rPr>
          <w:rFonts w:cs="Arial"/>
          <w:b/>
          <w:bCs/>
          <w:vertAlign w:val="superscript"/>
        </w:rPr>
        <w:t>th</w:t>
      </w:r>
      <w:r w:rsidR="008336A5">
        <w:rPr>
          <w:rFonts w:cs="Arial"/>
          <w:b/>
          <w:bCs/>
        </w:rPr>
        <w:t xml:space="preserve"> March 2015</w:t>
      </w:r>
      <w:r>
        <w:rPr>
          <w:rFonts w:cs="Arial"/>
          <w:b/>
          <w:bCs/>
        </w:rPr>
        <w:tab/>
        <w:t xml:space="preserve"> Item No:   </w:t>
      </w:r>
      <w:r w:rsidR="00CB6D1C">
        <w:rPr>
          <w:rFonts w:cs="Arial"/>
          <w:b/>
          <w:bCs/>
        </w:rPr>
        <w:t>1</w:t>
      </w:r>
      <w:r>
        <w:rPr>
          <w:rFonts w:cs="Arial"/>
          <w:b/>
          <w:bCs/>
        </w:rPr>
        <w:tab/>
      </w:r>
    </w:p>
    <w:p w:rsidR="00E70123" w:rsidRDefault="00E70123" w:rsidP="004F7E48">
      <w:pPr>
        <w:tabs>
          <w:tab w:val="left" w:pos="2268"/>
        </w:tabs>
        <w:jc w:val="right"/>
        <w:rPr>
          <w:rFonts w:cs="Arial"/>
          <w:b/>
          <w:bCs/>
        </w:rPr>
      </w:pPr>
    </w:p>
    <w:p w:rsidR="00E70123" w:rsidRDefault="00E70123" w:rsidP="004F7E48">
      <w:pPr>
        <w:tabs>
          <w:tab w:val="left" w:pos="2268"/>
        </w:tabs>
        <w:rPr>
          <w:rFonts w:cs="Arial"/>
          <w:bCs/>
        </w:rPr>
      </w:pPr>
      <w:r>
        <w:rPr>
          <w:rFonts w:cs="Arial"/>
          <w:b/>
          <w:bCs/>
        </w:rPr>
        <w:t xml:space="preserve">Report </w:t>
      </w:r>
      <w:r w:rsidR="002B5900">
        <w:rPr>
          <w:rFonts w:cs="Arial"/>
          <w:b/>
          <w:bCs/>
        </w:rPr>
        <w:t>from</w:t>
      </w:r>
      <w:r>
        <w:rPr>
          <w:rFonts w:cs="Arial"/>
          <w:b/>
          <w:bCs/>
        </w:rPr>
        <w:t>:</w:t>
      </w:r>
      <w:r>
        <w:rPr>
          <w:rFonts w:cs="Arial"/>
          <w:b/>
          <w:bCs/>
        </w:rPr>
        <w:tab/>
      </w:r>
      <w:r w:rsidR="002B5900">
        <w:rPr>
          <w:rFonts w:cs="Arial"/>
          <w:bCs/>
        </w:rPr>
        <w:t xml:space="preserve">Service Manager, Regeneration and </w:t>
      </w:r>
      <w:r w:rsidR="008C1C5C">
        <w:rPr>
          <w:rFonts w:cs="Arial"/>
          <w:bCs/>
        </w:rPr>
        <w:t>M</w:t>
      </w:r>
      <w:r w:rsidR="002B5900">
        <w:rPr>
          <w:rFonts w:cs="Arial"/>
          <w:bCs/>
        </w:rPr>
        <w:t>ajor Projects</w:t>
      </w:r>
    </w:p>
    <w:p w:rsidR="00E70123" w:rsidRDefault="00E70123" w:rsidP="004F7E48">
      <w:pPr>
        <w:tabs>
          <w:tab w:val="left" w:pos="2268"/>
        </w:tabs>
        <w:rPr>
          <w:rFonts w:cs="Arial"/>
          <w:b/>
          <w:bCs/>
        </w:rPr>
      </w:pPr>
    </w:p>
    <w:p w:rsidR="00E70123" w:rsidRDefault="00E70123" w:rsidP="00882D74">
      <w:pPr>
        <w:tabs>
          <w:tab w:val="left" w:pos="2268"/>
        </w:tabs>
        <w:ind w:left="2250" w:hanging="2250"/>
        <w:jc w:val="both"/>
        <w:rPr>
          <w:rFonts w:cs="Arial"/>
          <w:b/>
          <w:bCs/>
        </w:rPr>
      </w:pPr>
      <w:r>
        <w:rPr>
          <w:rFonts w:cs="Arial"/>
          <w:b/>
          <w:bCs/>
        </w:rPr>
        <w:t xml:space="preserve">Title of Report: </w:t>
      </w:r>
      <w:r w:rsidR="004F7E48">
        <w:rPr>
          <w:rFonts w:cs="Arial"/>
          <w:b/>
          <w:bCs/>
        </w:rPr>
        <w:tab/>
      </w:r>
      <w:r w:rsidR="008336A5">
        <w:rPr>
          <w:rFonts w:cs="Arial"/>
          <w:b/>
          <w:bCs/>
        </w:rPr>
        <w:t>Disposal of Sub Station sites</w:t>
      </w:r>
    </w:p>
    <w:p w:rsidR="00E70123" w:rsidRDefault="00E70123" w:rsidP="005D3AAD">
      <w:pPr>
        <w:pStyle w:val="Heading1"/>
        <w:jc w:val="center"/>
        <w:rPr>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E70123" w:rsidRDefault="00E70123" w:rsidP="005D3AAD">
      <w:pPr>
        <w:pBdr>
          <w:top w:val="single" w:sz="4" w:space="1" w:color="auto"/>
          <w:left w:val="single" w:sz="4" w:space="4" w:color="auto"/>
          <w:bottom w:val="single" w:sz="4" w:space="1" w:color="auto"/>
          <w:right w:val="single" w:sz="4" w:space="4" w:color="auto"/>
        </w:pBdr>
        <w:rPr>
          <w:rFonts w:cs="Arial"/>
        </w:rPr>
      </w:pPr>
    </w:p>
    <w:p w:rsidR="00E70123" w:rsidRPr="005D3AAD" w:rsidRDefault="00E70123" w:rsidP="00BC132F">
      <w:pPr>
        <w:pBdr>
          <w:top w:val="single" w:sz="4" w:space="1" w:color="auto"/>
          <w:left w:val="single" w:sz="4" w:space="4" w:color="auto"/>
          <w:bottom w:val="single" w:sz="4" w:space="1" w:color="auto"/>
          <w:right w:val="single" w:sz="4" w:space="4" w:color="auto"/>
        </w:pBdr>
        <w:tabs>
          <w:tab w:val="left" w:pos="2835"/>
        </w:tabs>
        <w:ind w:left="2835" w:hanging="2835"/>
        <w:rPr>
          <w:rFonts w:cs="Arial"/>
        </w:rPr>
      </w:pPr>
      <w:r>
        <w:rPr>
          <w:rFonts w:cs="Arial"/>
          <w:b/>
          <w:bCs/>
        </w:rPr>
        <w:t>Purpose of report</w:t>
      </w:r>
      <w:r>
        <w:rPr>
          <w:rFonts w:cs="Arial"/>
        </w:rPr>
        <w:t>:</w:t>
      </w:r>
      <w:r>
        <w:rPr>
          <w:rFonts w:cs="Arial"/>
        </w:rPr>
        <w:tab/>
      </w:r>
      <w:r w:rsidR="008336A5">
        <w:rPr>
          <w:rFonts w:cs="Arial"/>
        </w:rPr>
        <w:t xml:space="preserve">To confirm of approval to disposal of 83 Electricity Sub Station Sites to Scottish and Southern Electric which was delegated to the Executive Director </w:t>
      </w:r>
      <w:r w:rsidR="00F03340">
        <w:rPr>
          <w:rFonts w:cs="Arial"/>
        </w:rPr>
        <w:t>City Regeneration</w:t>
      </w:r>
      <w:r w:rsidR="008336A5">
        <w:rPr>
          <w:rFonts w:cs="Arial"/>
        </w:rPr>
        <w:t xml:space="preserve"> by CEB July 2014</w:t>
      </w:r>
    </w:p>
    <w:p w:rsidR="00E70123"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p>
    <w:p w:rsidR="00E70123" w:rsidRDefault="00E70123" w:rsidP="005D3AAD">
      <w:pPr>
        <w:pStyle w:val="Heading1"/>
        <w:pBdr>
          <w:top w:val="single" w:sz="4" w:space="1" w:color="auto"/>
          <w:left w:val="single" w:sz="4" w:space="4" w:color="auto"/>
          <w:bottom w:val="single" w:sz="4" w:space="1" w:color="auto"/>
          <w:right w:val="single" w:sz="4" w:space="4" w:color="auto"/>
        </w:pBdr>
        <w:tabs>
          <w:tab w:val="left" w:pos="3062"/>
        </w:tabs>
        <w:ind w:left="2880" w:hanging="2880"/>
        <w:rPr>
          <w:bCs w:val="0"/>
        </w:rPr>
      </w:pPr>
      <w:r>
        <w:rPr>
          <w:bCs w:val="0"/>
        </w:rPr>
        <w:t>Key decision?</w:t>
      </w:r>
      <w:r>
        <w:rPr>
          <w:bCs w:val="0"/>
        </w:rPr>
        <w:tab/>
      </w:r>
      <w:r w:rsidR="008336A5">
        <w:rPr>
          <w:b w:val="0"/>
        </w:rPr>
        <w:t>Yes</w:t>
      </w:r>
    </w:p>
    <w:p w:rsidR="00E70123" w:rsidRPr="00F719C6"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p>
    <w:p w:rsidR="00E70123" w:rsidRPr="00F719C6"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r w:rsidRPr="00F719C6">
        <w:rPr>
          <w:rFonts w:cs="Arial"/>
          <w:b/>
          <w:bCs/>
        </w:rPr>
        <w:t>Executive lead member:</w:t>
      </w:r>
      <w:r w:rsidRPr="00F719C6">
        <w:rPr>
          <w:rFonts w:cs="Arial"/>
          <w:b/>
          <w:bCs/>
        </w:rPr>
        <w:tab/>
      </w:r>
      <w:r w:rsidRPr="00F719C6">
        <w:rPr>
          <w:rFonts w:cs="Arial"/>
        </w:rPr>
        <w:t>Councillor Ed Turner</w:t>
      </w:r>
    </w:p>
    <w:p w:rsidR="00E70123" w:rsidRPr="00B608A5" w:rsidRDefault="00E70123" w:rsidP="005D3AAD">
      <w:pPr>
        <w:pBdr>
          <w:top w:val="single" w:sz="4" w:space="1" w:color="auto"/>
          <w:left w:val="single" w:sz="4" w:space="4" w:color="auto"/>
          <w:bottom w:val="single" w:sz="4" w:space="1" w:color="auto"/>
          <w:right w:val="single" w:sz="4" w:space="4" w:color="auto"/>
        </w:pBdr>
        <w:tabs>
          <w:tab w:val="left" w:pos="2880"/>
        </w:tabs>
        <w:rPr>
          <w:rFonts w:cs="Arial"/>
        </w:rPr>
      </w:pPr>
    </w:p>
    <w:p w:rsidR="00E70123" w:rsidRDefault="00E70123" w:rsidP="005D3AAD">
      <w:pPr>
        <w:ind w:left="720" w:hanging="720"/>
        <w:rPr>
          <w:bCs/>
          <w:u w:val="single"/>
        </w:rPr>
      </w:pPr>
    </w:p>
    <w:p w:rsidR="00E70123" w:rsidRDefault="00E70123" w:rsidP="005D3AAD">
      <w:pPr>
        <w:ind w:left="720" w:hanging="720"/>
        <w:rPr>
          <w:bCs/>
          <w:u w:val="single"/>
        </w:rPr>
      </w:pPr>
      <w:r>
        <w:rPr>
          <w:b/>
          <w:bCs/>
          <w:u w:val="single"/>
        </w:rPr>
        <w:t>Policy Framework:</w:t>
      </w:r>
    </w:p>
    <w:p w:rsidR="00E70123" w:rsidRDefault="00E70123" w:rsidP="005D3AAD">
      <w:pPr>
        <w:ind w:left="720" w:hanging="720"/>
        <w:rPr>
          <w:bCs/>
          <w:u w:val="single"/>
        </w:rPr>
      </w:pPr>
    </w:p>
    <w:p w:rsidR="00E70123" w:rsidRDefault="00E70123" w:rsidP="005D3AAD">
      <w:pPr>
        <w:numPr>
          <w:ilvl w:val="0"/>
          <w:numId w:val="1"/>
        </w:numPr>
        <w:tabs>
          <w:tab w:val="clear" w:pos="720"/>
          <w:tab w:val="num" w:pos="360"/>
        </w:tabs>
        <w:ind w:left="360"/>
        <w:rPr>
          <w:bCs/>
        </w:rPr>
      </w:pPr>
      <w:r w:rsidRPr="0081685B">
        <w:rPr>
          <w:bCs/>
        </w:rPr>
        <w:t>A vibrant and sustainable economy</w:t>
      </w:r>
    </w:p>
    <w:p w:rsidR="008336A5" w:rsidRPr="0081685B" w:rsidRDefault="008336A5" w:rsidP="005D3AAD">
      <w:pPr>
        <w:numPr>
          <w:ilvl w:val="0"/>
          <w:numId w:val="1"/>
        </w:numPr>
        <w:tabs>
          <w:tab w:val="clear" w:pos="720"/>
          <w:tab w:val="num" w:pos="360"/>
        </w:tabs>
        <w:ind w:left="360"/>
        <w:rPr>
          <w:bCs/>
        </w:rPr>
      </w:pPr>
      <w:r>
        <w:rPr>
          <w:bCs/>
        </w:rPr>
        <w:t>Efficient and effective Council</w:t>
      </w:r>
    </w:p>
    <w:p w:rsidR="00E70123" w:rsidRPr="00DB65BE" w:rsidRDefault="00E70123" w:rsidP="00497D91">
      <w:pPr>
        <w:ind w:left="360"/>
        <w:rPr>
          <w:bCs/>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p>
    <w:p w:rsidR="00E70123" w:rsidRPr="00DB65BE" w:rsidRDefault="00E70123" w:rsidP="005D3AAD">
      <w:pPr>
        <w:pStyle w:val="Heading1"/>
        <w:pBdr>
          <w:top w:val="single" w:sz="4" w:space="1" w:color="auto"/>
          <w:left w:val="single" w:sz="4" w:space="4" w:color="auto"/>
          <w:bottom w:val="single" w:sz="4" w:space="1" w:color="auto"/>
          <w:right w:val="single" w:sz="4" w:space="4" w:color="auto"/>
        </w:pBdr>
      </w:pPr>
      <w:r w:rsidRPr="00DB65BE">
        <w:t>Recommendation</w:t>
      </w:r>
      <w:r>
        <w:t>(</w:t>
      </w:r>
      <w:r w:rsidRPr="00DB65BE">
        <w:t>s</w:t>
      </w:r>
      <w:r>
        <w:t>)</w:t>
      </w:r>
    </w:p>
    <w:p w:rsidR="00E70123" w:rsidRDefault="00E70123" w:rsidP="005D3AAD">
      <w:pPr>
        <w:pBdr>
          <w:top w:val="single" w:sz="4" w:space="1" w:color="auto"/>
          <w:left w:val="single" w:sz="4" w:space="4" w:color="auto"/>
          <w:bottom w:val="single" w:sz="4" w:space="1" w:color="auto"/>
          <w:right w:val="single" w:sz="4" w:space="4" w:color="auto"/>
        </w:pBdr>
        <w:rPr>
          <w:rFonts w:cs="Arial"/>
        </w:rPr>
      </w:pPr>
    </w:p>
    <w:p w:rsidR="00B8416B" w:rsidRDefault="00503985"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r>
        <w:rPr>
          <w:rFonts w:cs="Arial"/>
          <w:b/>
        </w:rPr>
        <w:tab/>
      </w:r>
      <w:r w:rsidR="0058774D">
        <w:rPr>
          <w:rFonts w:cs="Arial"/>
          <w:b/>
        </w:rPr>
        <w:t xml:space="preserve">To agree </w:t>
      </w:r>
      <w:r w:rsidR="008336A5">
        <w:rPr>
          <w:rFonts w:cs="Arial"/>
          <w:b/>
        </w:rPr>
        <w:t>to completing the sale of 83 Electric sub station Sites to Scottish and Southern Electric for a consideration of £1.25M to be received by the council prior to the end of 2014/2015 Financial Year. The transaction is fully in accordance with the terms presented to CEB in July 2014 and which delegated final decision to the Executive Director Regeneration and Major Projects.</w:t>
      </w:r>
    </w:p>
    <w:p w:rsidR="008336A5" w:rsidRDefault="008336A5" w:rsidP="00503985">
      <w:pPr>
        <w:pBdr>
          <w:top w:val="single" w:sz="4" w:space="1" w:color="auto"/>
          <w:left w:val="single" w:sz="4" w:space="4" w:color="auto"/>
          <w:bottom w:val="single" w:sz="4" w:space="1" w:color="auto"/>
          <w:right w:val="single" w:sz="4" w:space="4" w:color="auto"/>
        </w:pBdr>
        <w:tabs>
          <w:tab w:val="left" w:pos="720"/>
          <w:tab w:val="left" w:pos="3048"/>
        </w:tabs>
        <w:ind w:left="720" w:hanging="720"/>
        <w:jc w:val="both"/>
        <w:rPr>
          <w:rFonts w:cs="Arial"/>
          <w:b/>
        </w:rPr>
      </w:pPr>
    </w:p>
    <w:p w:rsidR="000029BD" w:rsidRDefault="000029BD" w:rsidP="00A9446D">
      <w:pPr>
        <w:tabs>
          <w:tab w:val="left" w:pos="567"/>
        </w:tabs>
        <w:rPr>
          <w:bCs/>
          <w:u w:val="single"/>
        </w:rPr>
      </w:pPr>
    </w:p>
    <w:p w:rsidR="000029BD" w:rsidRPr="002E17B2" w:rsidRDefault="000029BD" w:rsidP="00A9446D">
      <w:pPr>
        <w:tabs>
          <w:tab w:val="left" w:pos="567"/>
        </w:tabs>
        <w:rPr>
          <w:bCs/>
          <w:u w:val="single"/>
        </w:rPr>
      </w:pPr>
    </w:p>
    <w:p w:rsidR="00E70123" w:rsidRPr="002E17B2" w:rsidRDefault="00E70123" w:rsidP="005D3AAD">
      <w:pPr>
        <w:jc w:val="both"/>
        <w:rPr>
          <w:rFonts w:cs="Arial"/>
        </w:rPr>
      </w:pPr>
      <w:r w:rsidRPr="002E17B2">
        <w:rPr>
          <w:rFonts w:cs="Arial"/>
          <w:b/>
        </w:rPr>
        <w:t>Background</w:t>
      </w:r>
    </w:p>
    <w:p w:rsidR="00E70123" w:rsidRPr="002E17B2" w:rsidRDefault="00E70123" w:rsidP="005D3AAD">
      <w:pPr>
        <w:jc w:val="both"/>
        <w:rPr>
          <w:rFonts w:cs="Arial"/>
        </w:rPr>
      </w:pPr>
    </w:p>
    <w:p w:rsidR="00F03340" w:rsidRDefault="00F03340" w:rsidP="00F03340">
      <w:pPr>
        <w:keepNext/>
        <w:numPr>
          <w:ilvl w:val="1"/>
          <w:numId w:val="12"/>
        </w:numPr>
        <w:rPr>
          <w:rFonts w:cs="Arial"/>
        </w:rPr>
      </w:pPr>
      <w:r>
        <w:rPr>
          <w:rFonts w:cs="Arial"/>
        </w:rPr>
        <w:tab/>
        <w:t xml:space="preserve">The Council currently owns the freehold interest in some 92 sub station </w:t>
      </w:r>
    </w:p>
    <w:p w:rsidR="00F03340" w:rsidRDefault="00F03340" w:rsidP="00F03340">
      <w:pPr>
        <w:keepNext/>
        <w:ind w:left="360"/>
        <w:rPr>
          <w:rFonts w:cs="Arial"/>
        </w:rPr>
      </w:pPr>
      <w:r>
        <w:rPr>
          <w:rFonts w:cs="Arial"/>
        </w:rPr>
        <w:t xml:space="preserve">      sites across Oxford with t</w:t>
      </w:r>
      <w:r w:rsidRPr="009F7072">
        <w:rPr>
          <w:rFonts w:cs="Arial"/>
        </w:rPr>
        <w:t>he properties currently leased to Scottish and</w:t>
      </w:r>
    </w:p>
    <w:p w:rsidR="00F03340" w:rsidRDefault="00F03340" w:rsidP="00F03340">
      <w:pPr>
        <w:keepNext/>
        <w:rPr>
          <w:rFonts w:cs="Arial"/>
        </w:rPr>
      </w:pPr>
      <w:r>
        <w:rPr>
          <w:rFonts w:cs="Arial"/>
        </w:rPr>
        <w:t xml:space="preserve">      </w:t>
      </w:r>
      <w:r>
        <w:rPr>
          <w:rFonts w:cs="Arial"/>
        </w:rPr>
        <w:tab/>
        <w:t>S</w:t>
      </w:r>
      <w:r w:rsidRPr="009F7072">
        <w:rPr>
          <w:rFonts w:cs="Arial"/>
        </w:rPr>
        <w:t xml:space="preserve">outhern </w:t>
      </w:r>
      <w:r>
        <w:rPr>
          <w:rFonts w:cs="Arial"/>
        </w:rPr>
        <w:t>Energy PLC (SSE)</w:t>
      </w:r>
      <w:r w:rsidRPr="009F7072">
        <w:rPr>
          <w:rFonts w:cs="Arial"/>
        </w:rPr>
        <w:t xml:space="preserve">  on a variety of lease terms with </w:t>
      </w:r>
      <w:r>
        <w:rPr>
          <w:rFonts w:cs="Arial"/>
        </w:rPr>
        <w:tab/>
        <w:t>approximately</w:t>
      </w:r>
      <w:r w:rsidRPr="009F7072">
        <w:rPr>
          <w:rFonts w:cs="Arial"/>
        </w:rPr>
        <w:t xml:space="preserve"> 50% </w:t>
      </w:r>
      <w:r>
        <w:rPr>
          <w:rFonts w:cs="Arial"/>
        </w:rPr>
        <w:tab/>
      </w:r>
      <w:r w:rsidRPr="009F7072">
        <w:rPr>
          <w:rFonts w:cs="Arial"/>
        </w:rPr>
        <w:t>expiring between 2042 and 2045</w:t>
      </w:r>
      <w:r>
        <w:rPr>
          <w:rFonts w:cs="Arial"/>
        </w:rPr>
        <w:t>.</w:t>
      </w:r>
    </w:p>
    <w:p w:rsidR="00F03340" w:rsidRDefault="00F03340" w:rsidP="00F03340">
      <w:pPr>
        <w:keepNext/>
        <w:numPr>
          <w:ilvl w:val="1"/>
          <w:numId w:val="12"/>
        </w:numPr>
        <w:tabs>
          <w:tab w:val="clear" w:pos="360"/>
          <w:tab w:val="num" w:pos="720"/>
        </w:tabs>
        <w:ind w:left="720" w:hanging="720"/>
        <w:rPr>
          <w:rFonts w:cs="Arial"/>
        </w:rPr>
      </w:pPr>
      <w:r>
        <w:rPr>
          <w:rFonts w:cs="Arial"/>
        </w:rPr>
        <w:t xml:space="preserve">The income stream is low (currently approximately £14,000 per annum) and administration and management of the portfolio is time consuming </w:t>
      </w:r>
      <w:r>
        <w:rPr>
          <w:rFonts w:cs="Arial"/>
        </w:rPr>
        <w:lastRenderedPageBreak/>
        <w:t>and burdensome given the property management, rent negotiations and collection and accounting etc  involved.</w:t>
      </w:r>
    </w:p>
    <w:p w:rsidR="00F03340" w:rsidRDefault="00F03340" w:rsidP="00F03340">
      <w:pPr>
        <w:keepNext/>
        <w:numPr>
          <w:ilvl w:val="1"/>
          <w:numId w:val="12"/>
        </w:numPr>
        <w:tabs>
          <w:tab w:val="clear" w:pos="360"/>
          <w:tab w:val="num" w:pos="720"/>
        </w:tabs>
        <w:ind w:left="720" w:hanging="720"/>
        <w:rPr>
          <w:rFonts w:cs="Arial"/>
        </w:rPr>
      </w:pPr>
      <w:r w:rsidRPr="00F0480F">
        <w:rPr>
          <w:rFonts w:cs="Arial"/>
        </w:rPr>
        <w:t>As the properties are largely of non</w:t>
      </w:r>
      <w:r>
        <w:rPr>
          <w:rFonts w:cs="Arial"/>
        </w:rPr>
        <w:t>-</w:t>
      </w:r>
      <w:r w:rsidRPr="00F0480F">
        <w:rPr>
          <w:rFonts w:cs="Arial"/>
        </w:rPr>
        <w:t>strategic importance</w:t>
      </w:r>
      <w:r>
        <w:rPr>
          <w:rFonts w:cs="Arial"/>
        </w:rPr>
        <w:t xml:space="preserve"> and  are poorly performing  it is appropriate and in accordance with the principles outlined in the Asset Management Plan to consider disposal .</w:t>
      </w:r>
    </w:p>
    <w:p w:rsidR="00F03340" w:rsidRDefault="00F03340" w:rsidP="00F03340">
      <w:pPr>
        <w:keepNext/>
        <w:numPr>
          <w:ilvl w:val="1"/>
          <w:numId w:val="12"/>
        </w:numPr>
        <w:tabs>
          <w:tab w:val="clear" w:pos="360"/>
          <w:tab w:val="num" w:pos="720"/>
        </w:tabs>
        <w:ind w:left="720" w:hanging="720"/>
        <w:rPr>
          <w:rFonts w:cs="Arial"/>
        </w:rPr>
      </w:pPr>
      <w:r w:rsidRPr="00013668">
        <w:rPr>
          <w:rFonts w:cs="Arial"/>
        </w:rPr>
        <w:t>SSE approached the Council with a proposal to acquire the freehold interests in the sub</w:t>
      </w:r>
      <w:r>
        <w:rPr>
          <w:rFonts w:cs="Arial"/>
        </w:rPr>
        <w:t>-</w:t>
      </w:r>
      <w:r w:rsidRPr="00013668">
        <w:rPr>
          <w:rFonts w:cs="Arial"/>
        </w:rPr>
        <w:t>station sites and f</w:t>
      </w:r>
      <w:r w:rsidRPr="001E66C9">
        <w:rPr>
          <w:rFonts w:cs="Arial"/>
        </w:rPr>
        <w:t>ollowing negotiations , terms have been agreed for a private treaty sale</w:t>
      </w:r>
      <w:r>
        <w:rPr>
          <w:rFonts w:cs="Arial"/>
        </w:rPr>
        <w:t xml:space="preserve"> </w:t>
      </w:r>
      <w:r w:rsidRPr="001E66C9">
        <w:rPr>
          <w:rFonts w:cs="Arial"/>
        </w:rPr>
        <w:t xml:space="preserve">of 83 of the 92 sites. </w:t>
      </w:r>
      <w:r>
        <w:rPr>
          <w:rFonts w:cs="Arial"/>
        </w:rPr>
        <w:t xml:space="preserve">(see 1.6 below) </w:t>
      </w:r>
      <w:r w:rsidRPr="001E66C9">
        <w:rPr>
          <w:rFonts w:cs="Arial"/>
        </w:rPr>
        <w:t>A  property schedule is contained in Appendix 1</w:t>
      </w:r>
    </w:p>
    <w:p w:rsidR="00F03340" w:rsidRPr="00F03340" w:rsidRDefault="00F03340" w:rsidP="00F03340">
      <w:pPr>
        <w:keepNext/>
        <w:numPr>
          <w:ilvl w:val="1"/>
          <w:numId w:val="12"/>
        </w:numPr>
        <w:tabs>
          <w:tab w:val="clear" w:pos="360"/>
          <w:tab w:val="num" w:pos="720"/>
        </w:tabs>
        <w:ind w:left="720" w:hanging="720"/>
        <w:rPr>
          <w:rFonts w:cs="Arial"/>
        </w:rPr>
      </w:pPr>
      <w:r w:rsidRPr="00F03340">
        <w:rPr>
          <w:rFonts w:cs="Arial"/>
        </w:rPr>
        <w:t>The terms of the transaction are as per the original CEB Report of July 2014 and scope of properties or consideration has not varied.</w:t>
      </w:r>
    </w:p>
    <w:p w:rsidR="00F03340" w:rsidRPr="00F03340" w:rsidRDefault="00F03340" w:rsidP="00F03340">
      <w:pPr>
        <w:keepNext/>
        <w:numPr>
          <w:ilvl w:val="1"/>
          <w:numId w:val="12"/>
        </w:numPr>
        <w:tabs>
          <w:tab w:val="clear" w:pos="360"/>
          <w:tab w:val="num" w:pos="720"/>
        </w:tabs>
        <w:ind w:left="720" w:hanging="720"/>
        <w:rPr>
          <w:rFonts w:cs="Arial"/>
        </w:rPr>
      </w:pPr>
      <w:r w:rsidRPr="00F03340">
        <w:rPr>
          <w:rFonts w:cs="Arial"/>
        </w:rPr>
        <w:t>The sites comprise small areas of land mainly within theCouncil’s housing estates and have limited alternative development or other potential and disposal will  not interfere or restrict the Council’s ability to redevelop or re-configure the housing estates at some future date.</w:t>
      </w:r>
    </w:p>
    <w:p w:rsidR="00F03340" w:rsidRPr="00661D2D" w:rsidRDefault="00F03340" w:rsidP="00F03340">
      <w:pPr>
        <w:keepNext/>
        <w:numPr>
          <w:ilvl w:val="1"/>
          <w:numId w:val="12"/>
        </w:numPr>
        <w:tabs>
          <w:tab w:val="clear" w:pos="360"/>
          <w:tab w:val="num" w:pos="720"/>
        </w:tabs>
        <w:ind w:left="720" w:hanging="720"/>
        <w:rPr>
          <w:rFonts w:cs="Arial"/>
        </w:rPr>
      </w:pPr>
      <w:r>
        <w:rPr>
          <w:rFonts w:cs="Arial"/>
        </w:rPr>
        <w:t>A small number of sites (9) will be retained by the Council with leases to  SSE in view of their strategic/ future development impacts.</w:t>
      </w:r>
    </w:p>
    <w:p w:rsidR="00F03340" w:rsidRDefault="00F03340" w:rsidP="00F03340">
      <w:pPr>
        <w:keepNext/>
        <w:numPr>
          <w:ilvl w:val="1"/>
          <w:numId w:val="12"/>
        </w:numPr>
        <w:tabs>
          <w:tab w:val="clear" w:pos="360"/>
          <w:tab w:val="num" w:pos="720"/>
        </w:tabs>
        <w:ind w:left="720" w:hanging="720"/>
        <w:rPr>
          <w:rFonts w:cs="Arial"/>
        </w:rPr>
      </w:pPr>
      <w:r>
        <w:rPr>
          <w:rFonts w:cs="Arial"/>
        </w:rPr>
        <w:t>The disposal restricts  SSE  to use the sites as sub-stations only  and provides a clawback provision in the event of any alternative use or development being undertaken.</w:t>
      </w:r>
    </w:p>
    <w:p w:rsidR="00F03340" w:rsidRPr="00F03340" w:rsidRDefault="00F03340" w:rsidP="00F03340">
      <w:pPr>
        <w:keepNext/>
        <w:numPr>
          <w:ilvl w:val="1"/>
          <w:numId w:val="12"/>
        </w:numPr>
        <w:tabs>
          <w:tab w:val="clear" w:pos="360"/>
        </w:tabs>
        <w:ind w:left="0" w:firstLine="0"/>
        <w:rPr>
          <w:rFonts w:cs="Arial"/>
        </w:rPr>
      </w:pPr>
      <w:r w:rsidRPr="00F03340">
        <w:rPr>
          <w:rFonts w:cs="Arial"/>
        </w:rPr>
        <w:t xml:space="preserve">Carter Jonas ,  a firm of external Property Consultants provided </w:t>
      </w:r>
      <w:r w:rsidRPr="00F03340">
        <w:rPr>
          <w:rFonts w:cs="Arial"/>
        </w:rPr>
        <w:tab/>
        <w:t xml:space="preserve">valuation advice to support the negotiation process and confirmation  </w:t>
      </w:r>
      <w:r>
        <w:rPr>
          <w:rFonts w:cs="Arial"/>
        </w:rPr>
        <w:tab/>
      </w:r>
      <w:r w:rsidRPr="00F03340">
        <w:rPr>
          <w:rFonts w:cs="Arial"/>
        </w:rPr>
        <w:t xml:space="preserve">that the price represents best consideration in accordance with S123 of </w:t>
      </w:r>
      <w:r>
        <w:rPr>
          <w:rFonts w:cs="Arial"/>
        </w:rPr>
        <w:tab/>
      </w:r>
      <w:r w:rsidRPr="00F03340">
        <w:rPr>
          <w:rFonts w:cs="Arial"/>
        </w:rPr>
        <w:t>the Local</w:t>
      </w:r>
      <w:r>
        <w:rPr>
          <w:rFonts w:cs="Arial"/>
        </w:rPr>
        <w:t xml:space="preserve"> </w:t>
      </w:r>
      <w:r w:rsidRPr="00F03340">
        <w:rPr>
          <w:rFonts w:cs="Arial"/>
        </w:rPr>
        <w:t>Government Act 1972</w:t>
      </w:r>
    </w:p>
    <w:p w:rsidR="00835A5E" w:rsidRDefault="00835A5E" w:rsidP="00835A5E">
      <w:pPr>
        <w:jc w:val="both"/>
      </w:pPr>
    </w:p>
    <w:p w:rsidR="00E23AEB" w:rsidRDefault="00E23AEB" w:rsidP="00E23AEB">
      <w:pPr>
        <w:pStyle w:val="ListParagraph"/>
      </w:pPr>
    </w:p>
    <w:p w:rsidR="00DB2437" w:rsidRDefault="00DB2437" w:rsidP="00DB2437">
      <w:pPr>
        <w:pStyle w:val="ListParagraph"/>
      </w:pPr>
    </w:p>
    <w:p w:rsidR="00CB6D1C" w:rsidRDefault="00CB6D1C" w:rsidP="00CB6D1C">
      <w:pPr>
        <w:pStyle w:val="ListParagraph"/>
      </w:pPr>
    </w:p>
    <w:p w:rsidR="00CB6D1C" w:rsidRPr="002E17B2" w:rsidRDefault="00CB6D1C" w:rsidP="00CB6D1C">
      <w:pPr>
        <w:pStyle w:val="ListParagraph"/>
        <w:ind w:left="680"/>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E70123" w:rsidRPr="002E17B2" w:rsidTr="009C0CDE">
        <w:tc>
          <w:tcPr>
            <w:tcW w:w="8522" w:type="dxa"/>
            <w:tcBorders>
              <w:top w:val="single" w:sz="4" w:space="0" w:color="auto"/>
            </w:tcBorders>
          </w:tcPr>
          <w:p w:rsidR="00E70123" w:rsidRPr="002E17B2" w:rsidRDefault="00E70123" w:rsidP="009C0CDE">
            <w:pPr>
              <w:tabs>
                <w:tab w:val="left" w:pos="720"/>
                <w:tab w:val="left" w:pos="1440"/>
                <w:tab w:val="left" w:pos="2160"/>
                <w:tab w:val="left" w:pos="2880"/>
              </w:tabs>
            </w:pPr>
            <w:r w:rsidRPr="002E17B2">
              <w:rPr>
                <w:b/>
                <w:bCs/>
              </w:rPr>
              <w:t>Name and contact details of author:-</w:t>
            </w: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p w:rsidR="00DA0E36" w:rsidRDefault="00DA0E36" w:rsidP="00DA0E36">
            <w:pPr>
              <w:tabs>
                <w:tab w:val="left" w:pos="720"/>
                <w:tab w:val="left" w:pos="1440"/>
                <w:tab w:val="left" w:pos="2160"/>
                <w:tab w:val="left" w:pos="2880"/>
              </w:tabs>
            </w:pPr>
            <w:r>
              <w:t>Jane Winfield</w:t>
            </w:r>
            <w:r w:rsidR="00CB6D1C">
              <w:t xml:space="preserve"> Service Manager Regeneration and Major Projects</w:t>
            </w:r>
          </w:p>
          <w:p w:rsidR="00DA0E36" w:rsidRDefault="00CB6D1C" w:rsidP="00DA0E36">
            <w:pPr>
              <w:tabs>
                <w:tab w:val="left" w:pos="720"/>
                <w:tab w:val="left" w:pos="1440"/>
                <w:tab w:val="left" w:pos="2160"/>
                <w:tab w:val="left" w:pos="2880"/>
              </w:tabs>
            </w:pPr>
            <w:r>
              <w:t>St Aldates Chambers, St Aldates, Oxford OX1 1DS</w:t>
            </w:r>
          </w:p>
          <w:p w:rsidR="00CB6D1C" w:rsidRDefault="00CB6D1C" w:rsidP="00DA0E36">
            <w:pPr>
              <w:tabs>
                <w:tab w:val="left" w:pos="720"/>
                <w:tab w:val="left" w:pos="1440"/>
                <w:tab w:val="left" w:pos="2160"/>
                <w:tab w:val="left" w:pos="2880"/>
              </w:tabs>
            </w:pPr>
          </w:p>
          <w:p w:rsidR="00DA0E36" w:rsidRDefault="00CB6D1C" w:rsidP="00DA0E36">
            <w:pPr>
              <w:tabs>
                <w:tab w:val="left" w:pos="720"/>
                <w:tab w:val="left" w:pos="1440"/>
                <w:tab w:val="left" w:pos="2160"/>
                <w:tab w:val="left" w:pos="2880"/>
              </w:tabs>
            </w:pPr>
            <w:r>
              <w:t>j</w:t>
            </w:r>
            <w:r w:rsidR="00DA0E36">
              <w:t>winfield@oxford.gov.uk</w:t>
            </w:r>
          </w:p>
          <w:p w:rsidR="00E70123" w:rsidRPr="002E17B2" w:rsidRDefault="00E70123" w:rsidP="00627E3E">
            <w:pPr>
              <w:tabs>
                <w:tab w:val="left" w:pos="720"/>
                <w:tab w:val="left" w:pos="1440"/>
                <w:tab w:val="left" w:pos="2160"/>
                <w:tab w:val="left" w:pos="2880"/>
              </w:tabs>
            </w:pP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tc>
      </w:tr>
      <w:tr w:rsidR="00E70123" w:rsidRPr="002E17B2" w:rsidTr="009C0CDE">
        <w:tc>
          <w:tcPr>
            <w:tcW w:w="8522" w:type="dxa"/>
            <w:tcBorders>
              <w:bottom w:val="single" w:sz="4" w:space="0" w:color="auto"/>
            </w:tcBorders>
          </w:tcPr>
          <w:p w:rsidR="00E70123" w:rsidRPr="002E17B2" w:rsidRDefault="00E70123" w:rsidP="00B6726E">
            <w:pPr>
              <w:tabs>
                <w:tab w:val="left" w:pos="720"/>
                <w:tab w:val="left" w:pos="1440"/>
                <w:tab w:val="left" w:pos="2160"/>
                <w:tab w:val="left" w:pos="2880"/>
              </w:tabs>
              <w:rPr>
                <w:color w:val="0000FF"/>
                <w:u w:val="single"/>
              </w:rPr>
            </w:pPr>
          </w:p>
        </w:tc>
      </w:tr>
    </w:tbl>
    <w:p w:rsidR="00E70123" w:rsidRPr="002E17B2" w:rsidRDefault="00E70123" w:rsidP="005D3AAD">
      <w:pPr>
        <w:rPr>
          <w:rFonts w:cs="Arial"/>
          <w:b/>
          <w:bCs/>
        </w:rPr>
      </w:pPr>
    </w:p>
    <w:p w:rsidR="00E70123" w:rsidRDefault="00E70123" w:rsidP="005D3AAD">
      <w:pPr>
        <w:rPr>
          <w:b/>
          <w:bCs/>
        </w:rPr>
      </w:pPr>
    </w:p>
    <w:p w:rsidR="00F03340" w:rsidRPr="002E17B2" w:rsidRDefault="00F03340" w:rsidP="005D3AAD">
      <w:pPr>
        <w:rPr>
          <w:b/>
          <w:bCs/>
        </w:rPr>
      </w:pPr>
    </w:p>
    <w:p w:rsidR="00152B64" w:rsidRDefault="006C6DD5" w:rsidP="008A22C6">
      <w:pPr>
        <w:rPr>
          <w:b/>
          <w:bCs/>
        </w:rPr>
      </w:pPr>
      <w:r>
        <w:rPr>
          <w:b/>
          <w:bCs/>
        </w:rPr>
        <w:t>Version number:</w:t>
      </w:r>
      <w:r w:rsidR="00CB6D1C">
        <w:rPr>
          <w:b/>
          <w:bCs/>
        </w:rPr>
        <w:t xml:space="preserve"> 1.0</w:t>
      </w:r>
    </w:p>
    <w:p w:rsidR="00CB6D1C" w:rsidRDefault="00CB6D1C" w:rsidP="008A22C6">
      <w:pPr>
        <w:rPr>
          <w:b/>
          <w:bCs/>
        </w:rPr>
      </w:pPr>
    </w:p>
    <w:p w:rsidR="00CB6D1C" w:rsidRDefault="00CB6D1C" w:rsidP="008A22C6">
      <w:pPr>
        <w:rPr>
          <w:b/>
          <w:bCs/>
        </w:rPr>
      </w:pPr>
    </w:p>
    <w:p w:rsidR="00CB6D1C" w:rsidRDefault="00CB6D1C" w:rsidP="008A22C6">
      <w:pPr>
        <w:rPr>
          <w:b/>
          <w:bCs/>
        </w:rPr>
      </w:pPr>
    </w:p>
    <w:p w:rsidR="00CB6D1C" w:rsidRDefault="00CB6D1C" w:rsidP="00CB6D1C">
      <w:pPr>
        <w:jc w:val="center"/>
        <w:rPr>
          <w:b/>
          <w:bCs/>
        </w:rPr>
      </w:pPr>
    </w:p>
    <w:p w:rsidR="00CB6D1C" w:rsidRDefault="00CB6D1C" w:rsidP="00CB6D1C">
      <w:pPr>
        <w:jc w:val="center"/>
        <w:rPr>
          <w:b/>
          <w:bCs/>
        </w:rPr>
      </w:pPr>
    </w:p>
    <w:p w:rsidR="00CB6D1C" w:rsidRDefault="00CB6D1C" w:rsidP="00CB6D1C">
      <w:pPr>
        <w:jc w:val="center"/>
        <w:rPr>
          <w:b/>
          <w:bCs/>
        </w:rPr>
      </w:pPr>
    </w:p>
    <w:sectPr w:rsidR="00CB6D1C" w:rsidSect="00DB23A0">
      <w:footerReference w:type="default" r:id="rId9"/>
      <w:footerReference w:type="first" r:id="rId10"/>
      <w:pgSz w:w="11906" w:h="16838"/>
      <w:pgMar w:top="1440" w:right="1800" w:bottom="1440" w:left="1800" w:header="708" w:footer="62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27" w:rsidRDefault="000A4C27" w:rsidP="0081685B">
      <w:r>
        <w:separator/>
      </w:r>
    </w:p>
  </w:endnote>
  <w:endnote w:type="continuationSeparator" w:id="0">
    <w:p w:rsidR="000A4C27" w:rsidRDefault="000A4C27" w:rsidP="008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Footer"/>
      <w:jc w:val="center"/>
    </w:pPr>
    <w:r>
      <w:fldChar w:fldCharType="begin"/>
    </w:r>
    <w:r>
      <w:instrText xml:space="preserve"> PAGE   \* MERGEFORMAT </w:instrText>
    </w:r>
    <w:r>
      <w:fldChar w:fldCharType="separate"/>
    </w:r>
    <w:r w:rsidR="00436E65">
      <w:rPr>
        <w:noProof/>
      </w:rPr>
      <w:t>2</w:t>
    </w:r>
    <w:r>
      <w:rPr>
        <w:noProof/>
      </w:rPr>
      <w:fldChar w:fldCharType="end"/>
    </w:r>
  </w:p>
  <w:p w:rsidR="00E43427" w:rsidRDefault="00E4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Footer"/>
      <w:jc w:val="center"/>
    </w:pPr>
    <w:r>
      <w:fldChar w:fldCharType="begin"/>
    </w:r>
    <w:r>
      <w:instrText xml:space="preserve"> PAGE   \* MERGEFORMAT </w:instrText>
    </w:r>
    <w:r>
      <w:fldChar w:fldCharType="separate"/>
    </w:r>
    <w:r>
      <w:rPr>
        <w:noProof/>
      </w:rPr>
      <w:t>1</w:t>
    </w:r>
    <w:r>
      <w:rPr>
        <w:noProof/>
      </w:rPr>
      <w:fldChar w:fldCharType="end"/>
    </w:r>
  </w:p>
  <w:p w:rsidR="00E43427" w:rsidRDefault="00E4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27" w:rsidRDefault="000A4C27" w:rsidP="0081685B">
      <w:r>
        <w:separator/>
      </w:r>
    </w:p>
  </w:footnote>
  <w:footnote w:type="continuationSeparator" w:id="0">
    <w:p w:rsidR="000A4C27" w:rsidRDefault="000A4C27" w:rsidP="0081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5D5"/>
    <w:multiLevelType w:val="multilevel"/>
    <w:tmpl w:val="BE30D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144BA9"/>
    <w:multiLevelType w:val="hybridMultilevel"/>
    <w:tmpl w:val="C95E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369DF"/>
    <w:multiLevelType w:val="hybridMultilevel"/>
    <w:tmpl w:val="1182F376"/>
    <w:lvl w:ilvl="0" w:tplc="D946CC6E">
      <w:start w:val="1"/>
      <w:numFmt w:val="decimal"/>
      <w:lvlText w:val="%1."/>
      <w:lvlJc w:val="left"/>
      <w:pPr>
        <w:tabs>
          <w:tab w:val="num" w:pos="680"/>
        </w:tabs>
        <w:ind w:left="680" w:hanging="68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0FE6D33"/>
    <w:multiLevelType w:val="hybridMultilevel"/>
    <w:tmpl w:val="37728FBE"/>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AB6469E"/>
    <w:multiLevelType w:val="hybridMultilevel"/>
    <w:tmpl w:val="5A00365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D55C75"/>
    <w:multiLevelType w:val="hybridMultilevel"/>
    <w:tmpl w:val="ABDA71BA"/>
    <w:lvl w:ilvl="0" w:tplc="DED08A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5CB5B38"/>
    <w:multiLevelType w:val="hybridMultilevel"/>
    <w:tmpl w:val="9C04D0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0AD6B80"/>
    <w:multiLevelType w:val="hybridMultilevel"/>
    <w:tmpl w:val="DBD61B8C"/>
    <w:lvl w:ilvl="0" w:tplc="797296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B00DC6"/>
    <w:multiLevelType w:val="hybridMultilevel"/>
    <w:tmpl w:val="6B0A015E"/>
    <w:lvl w:ilvl="0" w:tplc="77A2DF26">
      <w:start w:val="11"/>
      <w:numFmt w:val="decimal"/>
      <w:lvlText w:val="%1."/>
      <w:lvlJc w:val="left"/>
      <w:pPr>
        <w:tabs>
          <w:tab w:val="num" w:pos="680"/>
        </w:tabs>
        <w:ind w:left="680" w:hanging="680"/>
      </w:pPr>
      <w:rPr>
        <w:rFonts w:ascii="Arial" w:hAnsi="Arial" w:cs="Times New Roman" w:hint="default"/>
        <w:sz w:val="24"/>
        <w:szCs w:val="24"/>
      </w:rPr>
    </w:lvl>
    <w:lvl w:ilvl="1" w:tplc="5EE4B44E">
      <w:start w:val="16"/>
      <w:numFmt w:val="decimal"/>
      <w:lvlText w:val="%2."/>
      <w:lvlJc w:val="left"/>
      <w:pPr>
        <w:tabs>
          <w:tab w:val="num" w:pos="680"/>
        </w:tabs>
        <w:ind w:left="680" w:hanging="680"/>
      </w:pPr>
      <w:rPr>
        <w:rFonts w:cs="Times New Roman" w:hint="default"/>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24F0AF1"/>
    <w:multiLevelType w:val="hybridMultilevel"/>
    <w:tmpl w:val="3C561B94"/>
    <w:lvl w:ilvl="0" w:tplc="DADA5CD4">
      <w:start w:val="12"/>
      <w:numFmt w:val="lowerRoman"/>
      <w:lvlText w:val="%1."/>
      <w:lvlJc w:val="left"/>
      <w:pPr>
        <w:tabs>
          <w:tab w:val="num" w:pos="1440"/>
        </w:tabs>
        <w:ind w:left="1440" w:hanging="720"/>
      </w:pPr>
      <w:rPr>
        <w:rFonts w:cs="Times New Roman" w:hint="default"/>
      </w:rPr>
    </w:lvl>
    <w:lvl w:ilvl="1" w:tplc="092C395E">
      <w:start w:val="6"/>
      <w:numFmt w:val="lowerRoman"/>
      <w:lvlText w:val="%2)"/>
      <w:lvlJc w:val="left"/>
      <w:pPr>
        <w:tabs>
          <w:tab w:val="num" w:pos="2160"/>
        </w:tabs>
        <w:ind w:left="2160" w:hanging="720"/>
      </w:pPr>
      <w:rPr>
        <w:rFonts w:cs="Times New Roman" w:hint="default"/>
      </w:rPr>
    </w:lvl>
    <w:lvl w:ilvl="2" w:tplc="DB9225A2">
      <w:start w:val="35"/>
      <w:numFmt w:val="decimal"/>
      <w:lvlText w:val="%3."/>
      <w:lvlJc w:val="left"/>
      <w:pPr>
        <w:tabs>
          <w:tab w:val="num" w:pos="680"/>
        </w:tabs>
        <w:ind w:left="680" w:hanging="680"/>
      </w:pPr>
      <w:rPr>
        <w:rFonts w:cs="Times New Roman"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7A9A2693"/>
    <w:multiLevelType w:val="hybridMultilevel"/>
    <w:tmpl w:val="ABDA71BA"/>
    <w:lvl w:ilvl="0" w:tplc="DED08A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623735"/>
    <w:multiLevelType w:val="hybridMultilevel"/>
    <w:tmpl w:val="6E2AA870"/>
    <w:lvl w:ilvl="0" w:tplc="4CA48CA6">
      <w:start w:val="7"/>
      <w:numFmt w:val="decimal"/>
      <w:lvlText w:val="%1."/>
      <w:lvlJc w:val="left"/>
      <w:pPr>
        <w:tabs>
          <w:tab w:val="num" w:pos="680"/>
        </w:tabs>
        <w:ind w:left="680" w:hanging="6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9"/>
  </w:num>
  <w:num w:numId="4">
    <w:abstractNumId w:val="8"/>
  </w:num>
  <w:num w:numId="5">
    <w:abstractNumId w:val="2"/>
  </w:num>
  <w:num w:numId="6">
    <w:abstractNumId w:val="11"/>
  </w:num>
  <w:num w:numId="7">
    <w:abstractNumId w:val="6"/>
  </w:num>
  <w:num w:numId="8">
    <w:abstractNumId w:val="1"/>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AD"/>
    <w:rsid w:val="000029BD"/>
    <w:rsid w:val="000064A1"/>
    <w:rsid w:val="00013A49"/>
    <w:rsid w:val="000263F6"/>
    <w:rsid w:val="000331B2"/>
    <w:rsid w:val="00076AF9"/>
    <w:rsid w:val="0008090A"/>
    <w:rsid w:val="00083579"/>
    <w:rsid w:val="0008498D"/>
    <w:rsid w:val="000A0666"/>
    <w:rsid w:val="000A4C27"/>
    <w:rsid w:val="000B4310"/>
    <w:rsid w:val="000B7D52"/>
    <w:rsid w:val="000C7F2B"/>
    <w:rsid w:val="000D42A3"/>
    <w:rsid w:val="000E4574"/>
    <w:rsid w:val="000F5DE7"/>
    <w:rsid w:val="000F6291"/>
    <w:rsid w:val="001425EA"/>
    <w:rsid w:val="00152B64"/>
    <w:rsid w:val="0016628B"/>
    <w:rsid w:val="00173ED0"/>
    <w:rsid w:val="00173F9A"/>
    <w:rsid w:val="001B1F2C"/>
    <w:rsid w:val="001B5ECD"/>
    <w:rsid w:val="001C40AB"/>
    <w:rsid w:val="001C65DF"/>
    <w:rsid w:val="001F3668"/>
    <w:rsid w:val="00216A56"/>
    <w:rsid w:val="00257338"/>
    <w:rsid w:val="00260473"/>
    <w:rsid w:val="00292967"/>
    <w:rsid w:val="00293003"/>
    <w:rsid w:val="002B108B"/>
    <w:rsid w:val="002B5900"/>
    <w:rsid w:val="002E17B2"/>
    <w:rsid w:val="002E2E89"/>
    <w:rsid w:val="002F79AE"/>
    <w:rsid w:val="00311B52"/>
    <w:rsid w:val="00332CE1"/>
    <w:rsid w:val="00341DFD"/>
    <w:rsid w:val="00357842"/>
    <w:rsid w:val="003656C1"/>
    <w:rsid w:val="003A2A33"/>
    <w:rsid w:val="003A44E3"/>
    <w:rsid w:val="003A5697"/>
    <w:rsid w:val="003B3F60"/>
    <w:rsid w:val="003C1572"/>
    <w:rsid w:val="003D3D85"/>
    <w:rsid w:val="003F5D43"/>
    <w:rsid w:val="004000D7"/>
    <w:rsid w:val="00401D6F"/>
    <w:rsid w:val="00416398"/>
    <w:rsid w:val="00417CCE"/>
    <w:rsid w:val="00425A4D"/>
    <w:rsid w:val="00436E65"/>
    <w:rsid w:val="004533BA"/>
    <w:rsid w:val="004635F3"/>
    <w:rsid w:val="00464D87"/>
    <w:rsid w:val="00465C2A"/>
    <w:rsid w:val="00476508"/>
    <w:rsid w:val="00491F0C"/>
    <w:rsid w:val="00492F36"/>
    <w:rsid w:val="00497D91"/>
    <w:rsid w:val="004A7564"/>
    <w:rsid w:val="004C16E3"/>
    <w:rsid w:val="004C256C"/>
    <w:rsid w:val="004C2931"/>
    <w:rsid w:val="004D1181"/>
    <w:rsid w:val="004E300E"/>
    <w:rsid w:val="004F7E48"/>
    <w:rsid w:val="00503985"/>
    <w:rsid w:val="00504E43"/>
    <w:rsid w:val="00505788"/>
    <w:rsid w:val="00521043"/>
    <w:rsid w:val="005255E2"/>
    <w:rsid w:val="00527BB9"/>
    <w:rsid w:val="0057104A"/>
    <w:rsid w:val="00576A22"/>
    <w:rsid w:val="0058774D"/>
    <w:rsid w:val="005B254A"/>
    <w:rsid w:val="005C2EDF"/>
    <w:rsid w:val="005D3AAD"/>
    <w:rsid w:val="005D4717"/>
    <w:rsid w:val="0060360B"/>
    <w:rsid w:val="00604F29"/>
    <w:rsid w:val="00605D3C"/>
    <w:rsid w:val="0062464A"/>
    <w:rsid w:val="00627E3E"/>
    <w:rsid w:val="00637272"/>
    <w:rsid w:val="0065173A"/>
    <w:rsid w:val="0066642E"/>
    <w:rsid w:val="006860F5"/>
    <w:rsid w:val="006917A6"/>
    <w:rsid w:val="006B151B"/>
    <w:rsid w:val="006C6DD5"/>
    <w:rsid w:val="00706233"/>
    <w:rsid w:val="00706996"/>
    <w:rsid w:val="007308D7"/>
    <w:rsid w:val="007561D9"/>
    <w:rsid w:val="007908F4"/>
    <w:rsid w:val="007C451F"/>
    <w:rsid w:val="007D6DA9"/>
    <w:rsid w:val="007D709C"/>
    <w:rsid w:val="007E700F"/>
    <w:rsid w:val="007F27AB"/>
    <w:rsid w:val="0081685B"/>
    <w:rsid w:val="008240E8"/>
    <w:rsid w:val="008257A8"/>
    <w:rsid w:val="008336A5"/>
    <w:rsid w:val="00835A5E"/>
    <w:rsid w:val="008463B9"/>
    <w:rsid w:val="00857F00"/>
    <w:rsid w:val="00882D74"/>
    <w:rsid w:val="00883F84"/>
    <w:rsid w:val="00884C86"/>
    <w:rsid w:val="008857F5"/>
    <w:rsid w:val="008A22C6"/>
    <w:rsid w:val="008B73CA"/>
    <w:rsid w:val="008C1C5C"/>
    <w:rsid w:val="008E0C7C"/>
    <w:rsid w:val="008F3829"/>
    <w:rsid w:val="00924B3E"/>
    <w:rsid w:val="0092621D"/>
    <w:rsid w:val="00927BC3"/>
    <w:rsid w:val="00941624"/>
    <w:rsid w:val="0098069E"/>
    <w:rsid w:val="00986AEC"/>
    <w:rsid w:val="00990AD6"/>
    <w:rsid w:val="00995E1B"/>
    <w:rsid w:val="009B2DDF"/>
    <w:rsid w:val="009C0CDE"/>
    <w:rsid w:val="009C79F0"/>
    <w:rsid w:val="009E1F03"/>
    <w:rsid w:val="009E269D"/>
    <w:rsid w:val="009E563B"/>
    <w:rsid w:val="00A03C52"/>
    <w:rsid w:val="00A07EA5"/>
    <w:rsid w:val="00A10176"/>
    <w:rsid w:val="00A36E66"/>
    <w:rsid w:val="00A656B4"/>
    <w:rsid w:val="00A74B65"/>
    <w:rsid w:val="00A93E17"/>
    <w:rsid w:val="00A9446D"/>
    <w:rsid w:val="00A96007"/>
    <w:rsid w:val="00AB0F71"/>
    <w:rsid w:val="00AC397F"/>
    <w:rsid w:val="00AC44E3"/>
    <w:rsid w:val="00AC51A9"/>
    <w:rsid w:val="00B012F9"/>
    <w:rsid w:val="00B05461"/>
    <w:rsid w:val="00B0582B"/>
    <w:rsid w:val="00B27BE6"/>
    <w:rsid w:val="00B43943"/>
    <w:rsid w:val="00B50D14"/>
    <w:rsid w:val="00B608A5"/>
    <w:rsid w:val="00B6726E"/>
    <w:rsid w:val="00B8416B"/>
    <w:rsid w:val="00B973BF"/>
    <w:rsid w:val="00BC132F"/>
    <w:rsid w:val="00BE612B"/>
    <w:rsid w:val="00C02260"/>
    <w:rsid w:val="00C02967"/>
    <w:rsid w:val="00C07F80"/>
    <w:rsid w:val="00C162E5"/>
    <w:rsid w:val="00C25E86"/>
    <w:rsid w:val="00C51A50"/>
    <w:rsid w:val="00C6662A"/>
    <w:rsid w:val="00C82672"/>
    <w:rsid w:val="00C84C10"/>
    <w:rsid w:val="00C864B4"/>
    <w:rsid w:val="00C935C5"/>
    <w:rsid w:val="00CA1277"/>
    <w:rsid w:val="00CB6D1C"/>
    <w:rsid w:val="00CD492A"/>
    <w:rsid w:val="00CE11F1"/>
    <w:rsid w:val="00CF033B"/>
    <w:rsid w:val="00D073DA"/>
    <w:rsid w:val="00D07921"/>
    <w:rsid w:val="00D164C9"/>
    <w:rsid w:val="00D21448"/>
    <w:rsid w:val="00D26139"/>
    <w:rsid w:val="00D309AD"/>
    <w:rsid w:val="00D35334"/>
    <w:rsid w:val="00D75AB2"/>
    <w:rsid w:val="00D7754A"/>
    <w:rsid w:val="00D804E1"/>
    <w:rsid w:val="00D8661B"/>
    <w:rsid w:val="00D876F8"/>
    <w:rsid w:val="00D947CB"/>
    <w:rsid w:val="00DA0E36"/>
    <w:rsid w:val="00DB23A0"/>
    <w:rsid w:val="00DB2437"/>
    <w:rsid w:val="00DB2747"/>
    <w:rsid w:val="00DB65BE"/>
    <w:rsid w:val="00DC69B9"/>
    <w:rsid w:val="00DD1FF8"/>
    <w:rsid w:val="00DE5769"/>
    <w:rsid w:val="00E03633"/>
    <w:rsid w:val="00E06BFA"/>
    <w:rsid w:val="00E104D5"/>
    <w:rsid w:val="00E1265A"/>
    <w:rsid w:val="00E14F72"/>
    <w:rsid w:val="00E15697"/>
    <w:rsid w:val="00E2392A"/>
    <w:rsid w:val="00E23AEB"/>
    <w:rsid w:val="00E43427"/>
    <w:rsid w:val="00E4441C"/>
    <w:rsid w:val="00E65039"/>
    <w:rsid w:val="00E70123"/>
    <w:rsid w:val="00E76210"/>
    <w:rsid w:val="00E87401"/>
    <w:rsid w:val="00EA0BE9"/>
    <w:rsid w:val="00EB0D62"/>
    <w:rsid w:val="00EB7A8F"/>
    <w:rsid w:val="00EC33AB"/>
    <w:rsid w:val="00F03340"/>
    <w:rsid w:val="00F04A49"/>
    <w:rsid w:val="00F15585"/>
    <w:rsid w:val="00F25119"/>
    <w:rsid w:val="00F25F31"/>
    <w:rsid w:val="00F41E87"/>
    <w:rsid w:val="00F440BE"/>
    <w:rsid w:val="00F63F02"/>
    <w:rsid w:val="00F719C6"/>
    <w:rsid w:val="00F7430A"/>
    <w:rsid w:val="00F754EB"/>
    <w:rsid w:val="00FA427D"/>
    <w:rsid w:val="00FA64AA"/>
    <w:rsid w:val="00FB310F"/>
    <w:rsid w:val="00FB6107"/>
    <w:rsid w:val="00FC0256"/>
    <w:rsid w:val="00FD3A85"/>
    <w:rsid w:val="00FE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D"/>
    <w:rPr>
      <w:rFonts w:eastAsia="Times New Roman" w:cs="Times New Roman"/>
      <w:sz w:val="24"/>
      <w:szCs w:val="24"/>
      <w:lang w:eastAsia="en-US"/>
    </w:rPr>
  </w:style>
  <w:style w:type="paragraph" w:styleId="Heading1">
    <w:name w:val="heading 1"/>
    <w:basedOn w:val="Normal"/>
    <w:next w:val="Normal"/>
    <w:link w:val="Heading1Char"/>
    <w:uiPriority w:val="99"/>
    <w:qFormat/>
    <w:rsid w:val="005D3AA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AD"/>
    <w:rPr>
      <w:rFonts w:eastAsia="Times New Roman" w:cs="Times New Roman"/>
      <w:b/>
      <w:bCs/>
    </w:rPr>
  </w:style>
  <w:style w:type="paragraph" w:styleId="BodyTextIndent">
    <w:name w:val="Body Text Indent"/>
    <w:basedOn w:val="Normal"/>
    <w:link w:val="BodyTextIndentChar"/>
    <w:uiPriority w:val="99"/>
    <w:rsid w:val="005D3AAD"/>
    <w:pPr>
      <w:ind w:left="540" w:hanging="540"/>
    </w:pPr>
  </w:style>
  <w:style w:type="character" w:customStyle="1" w:styleId="BodyTextIndentChar">
    <w:name w:val="Body Text Indent Char"/>
    <w:basedOn w:val="DefaultParagraphFont"/>
    <w:link w:val="BodyTextIndent"/>
    <w:uiPriority w:val="99"/>
    <w:locked/>
    <w:rsid w:val="005D3AAD"/>
    <w:rPr>
      <w:rFonts w:eastAsia="Times New Roman" w:cs="Times New Roman"/>
    </w:rPr>
  </w:style>
  <w:style w:type="paragraph" w:styleId="ListParagraph">
    <w:name w:val="List Paragraph"/>
    <w:basedOn w:val="Normal"/>
    <w:uiPriority w:val="99"/>
    <w:qFormat/>
    <w:rsid w:val="00E1265A"/>
    <w:pPr>
      <w:ind w:left="720"/>
      <w:contextualSpacing/>
    </w:pPr>
  </w:style>
  <w:style w:type="paragraph" w:styleId="Header">
    <w:name w:val="header"/>
    <w:basedOn w:val="Normal"/>
    <w:link w:val="HeaderChar"/>
    <w:uiPriority w:val="99"/>
    <w:rsid w:val="0081685B"/>
    <w:pPr>
      <w:tabs>
        <w:tab w:val="center" w:pos="4513"/>
        <w:tab w:val="right" w:pos="9026"/>
      </w:tabs>
    </w:pPr>
  </w:style>
  <w:style w:type="character" w:customStyle="1" w:styleId="HeaderChar">
    <w:name w:val="Header Char"/>
    <w:basedOn w:val="DefaultParagraphFont"/>
    <w:link w:val="Header"/>
    <w:uiPriority w:val="99"/>
    <w:locked/>
    <w:rsid w:val="0081685B"/>
    <w:rPr>
      <w:rFonts w:eastAsia="Times New Roman" w:cs="Times New Roman"/>
    </w:rPr>
  </w:style>
  <w:style w:type="paragraph" w:styleId="Footer">
    <w:name w:val="footer"/>
    <w:basedOn w:val="Normal"/>
    <w:link w:val="FooterChar"/>
    <w:uiPriority w:val="99"/>
    <w:rsid w:val="0081685B"/>
    <w:pPr>
      <w:tabs>
        <w:tab w:val="center" w:pos="4513"/>
        <w:tab w:val="right" w:pos="9026"/>
      </w:tabs>
    </w:pPr>
  </w:style>
  <w:style w:type="character" w:customStyle="1" w:styleId="FooterChar">
    <w:name w:val="Footer Char"/>
    <w:basedOn w:val="DefaultParagraphFont"/>
    <w:link w:val="Footer"/>
    <w:uiPriority w:val="99"/>
    <w:locked/>
    <w:rsid w:val="0081685B"/>
    <w:rPr>
      <w:rFonts w:eastAsia="Times New Roman" w:cs="Times New Roman"/>
    </w:rPr>
  </w:style>
  <w:style w:type="paragraph" w:styleId="BalloonText">
    <w:name w:val="Balloon Text"/>
    <w:basedOn w:val="Normal"/>
    <w:link w:val="BalloonTextChar"/>
    <w:uiPriority w:val="99"/>
    <w:semiHidden/>
    <w:rsid w:val="002E1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B2"/>
    <w:rPr>
      <w:rFonts w:ascii="Tahoma" w:hAnsi="Tahoma" w:cs="Tahoma"/>
      <w:sz w:val="16"/>
      <w:szCs w:val="16"/>
    </w:rPr>
  </w:style>
  <w:style w:type="character" w:styleId="Hyperlink">
    <w:name w:val="Hyperlink"/>
    <w:basedOn w:val="DefaultParagraphFont"/>
    <w:uiPriority w:val="99"/>
    <w:unhideWhenUsed/>
    <w:rsid w:val="00B6726E"/>
    <w:rPr>
      <w:color w:val="0000FF" w:themeColor="hyperlink"/>
      <w:u w:val="single"/>
    </w:rPr>
  </w:style>
  <w:style w:type="paragraph" w:styleId="FootnoteText">
    <w:name w:val="footnote text"/>
    <w:basedOn w:val="Normal"/>
    <w:link w:val="FootnoteTextChar"/>
    <w:uiPriority w:val="99"/>
    <w:semiHidden/>
    <w:unhideWhenUsed/>
    <w:rsid w:val="00332CE1"/>
    <w:rPr>
      <w:sz w:val="20"/>
      <w:szCs w:val="20"/>
    </w:rPr>
  </w:style>
  <w:style w:type="character" w:customStyle="1" w:styleId="FootnoteTextChar">
    <w:name w:val="Footnote Text Char"/>
    <w:basedOn w:val="DefaultParagraphFont"/>
    <w:link w:val="FootnoteText"/>
    <w:uiPriority w:val="99"/>
    <w:semiHidden/>
    <w:rsid w:val="00332CE1"/>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32CE1"/>
    <w:rPr>
      <w:vertAlign w:val="superscript"/>
    </w:rPr>
  </w:style>
  <w:style w:type="table" w:styleId="TableGrid">
    <w:name w:val="Table Grid"/>
    <w:basedOn w:val="TableNormal"/>
    <w:locked/>
    <w:rsid w:val="009E5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D"/>
    <w:rPr>
      <w:rFonts w:eastAsia="Times New Roman" w:cs="Times New Roman"/>
      <w:sz w:val="24"/>
      <w:szCs w:val="24"/>
      <w:lang w:eastAsia="en-US"/>
    </w:rPr>
  </w:style>
  <w:style w:type="paragraph" w:styleId="Heading1">
    <w:name w:val="heading 1"/>
    <w:basedOn w:val="Normal"/>
    <w:next w:val="Normal"/>
    <w:link w:val="Heading1Char"/>
    <w:uiPriority w:val="99"/>
    <w:qFormat/>
    <w:rsid w:val="005D3AA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AD"/>
    <w:rPr>
      <w:rFonts w:eastAsia="Times New Roman" w:cs="Times New Roman"/>
      <w:b/>
      <w:bCs/>
    </w:rPr>
  </w:style>
  <w:style w:type="paragraph" w:styleId="BodyTextIndent">
    <w:name w:val="Body Text Indent"/>
    <w:basedOn w:val="Normal"/>
    <w:link w:val="BodyTextIndentChar"/>
    <w:uiPriority w:val="99"/>
    <w:rsid w:val="005D3AAD"/>
    <w:pPr>
      <w:ind w:left="540" w:hanging="540"/>
    </w:pPr>
  </w:style>
  <w:style w:type="character" w:customStyle="1" w:styleId="BodyTextIndentChar">
    <w:name w:val="Body Text Indent Char"/>
    <w:basedOn w:val="DefaultParagraphFont"/>
    <w:link w:val="BodyTextIndent"/>
    <w:uiPriority w:val="99"/>
    <w:locked/>
    <w:rsid w:val="005D3AAD"/>
    <w:rPr>
      <w:rFonts w:eastAsia="Times New Roman" w:cs="Times New Roman"/>
    </w:rPr>
  </w:style>
  <w:style w:type="paragraph" w:styleId="ListParagraph">
    <w:name w:val="List Paragraph"/>
    <w:basedOn w:val="Normal"/>
    <w:uiPriority w:val="99"/>
    <w:qFormat/>
    <w:rsid w:val="00E1265A"/>
    <w:pPr>
      <w:ind w:left="720"/>
      <w:contextualSpacing/>
    </w:pPr>
  </w:style>
  <w:style w:type="paragraph" w:styleId="Header">
    <w:name w:val="header"/>
    <w:basedOn w:val="Normal"/>
    <w:link w:val="HeaderChar"/>
    <w:uiPriority w:val="99"/>
    <w:rsid w:val="0081685B"/>
    <w:pPr>
      <w:tabs>
        <w:tab w:val="center" w:pos="4513"/>
        <w:tab w:val="right" w:pos="9026"/>
      </w:tabs>
    </w:pPr>
  </w:style>
  <w:style w:type="character" w:customStyle="1" w:styleId="HeaderChar">
    <w:name w:val="Header Char"/>
    <w:basedOn w:val="DefaultParagraphFont"/>
    <w:link w:val="Header"/>
    <w:uiPriority w:val="99"/>
    <w:locked/>
    <w:rsid w:val="0081685B"/>
    <w:rPr>
      <w:rFonts w:eastAsia="Times New Roman" w:cs="Times New Roman"/>
    </w:rPr>
  </w:style>
  <w:style w:type="paragraph" w:styleId="Footer">
    <w:name w:val="footer"/>
    <w:basedOn w:val="Normal"/>
    <w:link w:val="FooterChar"/>
    <w:uiPriority w:val="99"/>
    <w:rsid w:val="0081685B"/>
    <w:pPr>
      <w:tabs>
        <w:tab w:val="center" w:pos="4513"/>
        <w:tab w:val="right" w:pos="9026"/>
      </w:tabs>
    </w:pPr>
  </w:style>
  <w:style w:type="character" w:customStyle="1" w:styleId="FooterChar">
    <w:name w:val="Footer Char"/>
    <w:basedOn w:val="DefaultParagraphFont"/>
    <w:link w:val="Footer"/>
    <w:uiPriority w:val="99"/>
    <w:locked/>
    <w:rsid w:val="0081685B"/>
    <w:rPr>
      <w:rFonts w:eastAsia="Times New Roman" w:cs="Times New Roman"/>
    </w:rPr>
  </w:style>
  <w:style w:type="paragraph" w:styleId="BalloonText">
    <w:name w:val="Balloon Text"/>
    <w:basedOn w:val="Normal"/>
    <w:link w:val="BalloonTextChar"/>
    <w:uiPriority w:val="99"/>
    <w:semiHidden/>
    <w:rsid w:val="002E1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B2"/>
    <w:rPr>
      <w:rFonts w:ascii="Tahoma" w:hAnsi="Tahoma" w:cs="Tahoma"/>
      <w:sz w:val="16"/>
      <w:szCs w:val="16"/>
    </w:rPr>
  </w:style>
  <w:style w:type="character" w:styleId="Hyperlink">
    <w:name w:val="Hyperlink"/>
    <w:basedOn w:val="DefaultParagraphFont"/>
    <w:uiPriority w:val="99"/>
    <w:unhideWhenUsed/>
    <w:rsid w:val="00B6726E"/>
    <w:rPr>
      <w:color w:val="0000FF" w:themeColor="hyperlink"/>
      <w:u w:val="single"/>
    </w:rPr>
  </w:style>
  <w:style w:type="paragraph" w:styleId="FootnoteText">
    <w:name w:val="footnote text"/>
    <w:basedOn w:val="Normal"/>
    <w:link w:val="FootnoteTextChar"/>
    <w:uiPriority w:val="99"/>
    <w:semiHidden/>
    <w:unhideWhenUsed/>
    <w:rsid w:val="00332CE1"/>
    <w:rPr>
      <w:sz w:val="20"/>
      <w:szCs w:val="20"/>
    </w:rPr>
  </w:style>
  <w:style w:type="character" w:customStyle="1" w:styleId="FootnoteTextChar">
    <w:name w:val="Footnote Text Char"/>
    <w:basedOn w:val="DefaultParagraphFont"/>
    <w:link w:val="FootnoteText"/>
    <w:uiPriority w:val="99"/>
    <w:semiHidden/>
    <w:rsid w:val="00332CE1"/>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32CE1"/>
    <w:rPr>
      <w:vertAlign w:val="superscript"/>
    </w:rPr>
  </w:style>
  <w:style w:type="table" w:styleId="TableGrid">
    <w:name w:val="Table Grid"/>
    <w:basedOn w:val="TableNormal"/>
    <w:locked/>
    <w:rsid w:val="009E5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563B"/>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0720">
      <w:marLeft w:val="0"/>
      <w:marRight w:val="0"/>
      <w:marTop w:val="0"/>
      <w:marBottom w:val="0"/>
      <w:divBdr>
        <w:top w:val="none" w:sz="0" w:space="0" w:color="auto"/>
        <w:left w:val="none" w:sz="0" w:space="0" w:color="auto"/>
        <w:bottom w:val="none" w:sz="0" w:space="0" w:color="auto"/>
        <w:right w:val="none" w:sz="0" w:space="0" w:color="auto"/>
      </w:divBdr>
    </w:div>
    <w:div w:id="1813280721">
      <w:marLeft w:val="0"/>
      <w:marRight w:val="0"/>
      <w:marTop w:val="0"/>
      <w:marBottom w:val="0"/>
      <w:divBdr>
        <w:top w:val="none" w:sz="0" w:space="0" w:color="auto"/>
        <w:left w:val="none" w:sz="0" w:space="0" w:color="auto"/>
        <w:bottom w:val="none" w:sz="0" w:space="0" w:color="auto"/>
        <w:right w:val="none" w:sz="0" w:space="0" w:color="auto"/>
      </w:divBdr>
    </w:div>
    <w:div w:id="181328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7AD2-6DCF-4D24-97F1-D1462586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8F09E423</Template>
  <TotalTime>0</TotalTime>
  <Pages>2</Pages>
  <Words>488</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2015-07-30T14:14:00Z</dcterms:created>
  <dcterms:modified xsi:type="dcterms:W3CDTF">2015-07-30T14:14:00Z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oFAAspTNh41gn7CVsRjMqylzJPJZGv5JmNfAaDArRYA+r3BJNP+mzQnv04CaYNIr2Qv/0KBFa3dz+Csc
/HqD2N24+r78n5hnA8bTRpCUxD9Wsaz3imfUvEaQQLsXQs9XmAvlcyJqkjcRgRorGMdpab6w/79n
T1fyDIp8ayZM0SOn7JprINpmGLvzP5eW2hWvhf7LuojmTnp97VKE0bcKRItpZnVSFOoSYuGjWl3B
NJpQyaT0JGRxMKCLE</vt:lpwstr>
  </property>
  <property fmtid="{D5CDD505-2E9C-101B-9397-08002B2CF9AE}" pid="3" name="MAIL_MSG_ID2">
    <vt:lpwstr>qOdh6Onwfwbro6QRVslgjnQU7wsyh0Dcd4XrG5wV2SotIojrDon676x6mVt
fWwSm3zp7l/xcvLKmtE8uzPiIBY8O9ANOJlaUT9z37eRbKCZ</vt:lpwstr>
  </property>
  <property fmtid="{D5CDD505-2E9C-101B-9397-08002B2CF9AE}" pid="4" name="RESPONSE_SENDER_NAME">
    <vt:lpwstr>gAAAdya76B99d4hLGUR1rQ+8TxTv0GGEPdix</vt:lpwstr>
  </property>
  <property fmtid="{D5CDD505-2E9C-101B-9397-08002B2CF9AE}" pid="5" name="EMAIL_OWNER_ADDRESS">
    <vt:lpwstr>ABAAgoCixPcRe8mgHlP4vtiWfGElRbX/Lu5+OHmkgcdcyW90tlDM7FywRhkE1JV36Yoq</vt:lpwstr>
  </property>
  <property fmtid="{D5CDD505-2E9C-101B-9397-08002B2CF9AE}" pid="6" name="WS_TRACKING_ID">
    <vt:lpwstr>364f0025-e19f-4c75-8d54-6738aea27e13</vt:lpwstr>
  </property>
</Properties>
</file>